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The Imperative of Velocity and Fidelity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global application modernization services market is undergoing a period of intense growth, expanding from a valuation of $20.82 billion in 2024 and projected to reach approximately $98.38 billion by 2034, reflecting a Compound Annual Growth Rate (CAGR) of 16.80%.</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massive investment is necessitated by aging legacy infrastructure—some systems exceeding 50 years in operation—which has become a maladaptive liability, compromising digital reliability and inhibiting competitive response.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challenge for executive leadership is balancing the increasing need for speed and agility, often highlighted by the rapid technological advancements in areas like cloud-native adoption (Kubernetes usage grew 48% in a recent period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against the significant risks and chronic delays inherent in modifying complex, undocumented systems. The analysis confirms that strategic modernization initiatives are consistently plagued by financial leakage due to technical debt, severe operational constraints imposed by human capital shortages, and the critical risk of system failure caused by unintended logic changes.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Specialized Artificial Intelligence (AI) solutions, particularly those focused on high-fidelity code translation and modernization, are emerging as critical enabling technologies to resolve these constraints. The findings demonstrate a strong executive appetite for tools that can mitigate the chronic risks associated with modernization projects, especially those that promise high quality and rapid delivery. The consensus expert selections across the four sections of the survey reflect a strategic prioritization of </w:t>
      </w:r>
      <w:r w:rsidDel="00000000" w:rsidR="00000000" w:rsidRPr="00000000">
        <w:rPr>
          <w:rFonts w:ascii="Google Sans Text" w:cs="Google Sans Text" w:eastAsia="Google Sans Text" w:hAnsi="Google Sans Text"/>
          <w:b w:val="1"/>
          <w:bCs w:val="1"/>
          <w:color w:val="1b1c1d"/>
          <w:rtl w:val="0"/>
        </w:rPr>
        <w:t xml:space="preserve">time-to-delivery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risk mitigation</w:t>
      </w:r>
      <w:r w:rsidDel="00000000" w:rsidR="00000000" w:rsidRPr="00000000">
        <w:rPr>
          <w:rFonts w:ascii="Google Sans Text" w:cs="Google Sans Text" w:eastAsia="Google Sans Text" w:hAnsi="Google Sans Text"/>
          <w:color w:val="1b1c1d"/>
          <w:rtl w:val="0"/>
        </w:rPr>
        <w:t xml:space="preserve"> over simple cost reduction.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expert consensus responses derived from synthesized market data:</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Title: Expert Consensus Responses to Application Modernization Survey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Question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Expert Selected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Strategic 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Project 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1–2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Industry average is 16 months for core systems, demonstrating chronicity.</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Technical Debt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Aligns with the 15% average of IT budget regularly consumed by remediation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Knowledge Loss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5 (Critical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Driven by complex, undocumented logic and scarcity of domain expertise.</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Non-Technical Constraints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Skill shortages / lack of expertise, Organizational resistance to change, Budget constraints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operational, cultural, and financial hurdles that require automated leverage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Most Critical Pain Point (Rank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Difficulty finding specialized legacy code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scarcity of talent serves as the primary project bottleneck and multiplier of cost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Technical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All listed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These five factors define the "Architecture of Fragility" in legacy systems.</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 of Speed (30–50%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5 (Game Changer)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Directly unlocks competitive advantage and ensures projects conclude before technological obsolescence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Likelihood to Pilot (40% bug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5 (Very Likely)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fidelity minimizes critical operational risk and enables secure, auditable transformation.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Most Important ROI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Faster time-to-delivery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Prioritizes market responsiveness and accelerated value realization over simple labor cost reduction.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 AI Budget Allocation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5–10%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Represents the necessary capital investment required for high-value acceleration tools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Attractive Commercial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Fixed-Price, Project-Based; Success-Fee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Strategy to manage financial risk (Fixed-Price) while ensuring quality outcomes (Success-Fee)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Willingness to Pay Premium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investment justified by the rapid mitigation of catastrophic risks and ongoing maintenance costs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Authorization 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Proof of Concept / Pilot, Detailed ROI projection, Vendor track record / credibility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governance Triumvirate required for authorizing high-stakes technology adoption .</w:t>
            </w:r>
          </w:p>
        </w:tc>
      </w:tr>
    </w:tbl>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 Project Governance and Financial Realities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Analysis of Typical Project Duration for High-Priority Core Systems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typical duration for high-priority application modernization projects, such as core financial or HR systems, is most accurately represented by the </w:t>
      </w:r>
      <w:r w:rsidDel="00000000" w:rsidR="00000000" w:rsidRPr="00000000">
        <w:rPr>
          <w:rFonts w:ascii="Google Sans Text" w:cs="Google Sans Text" w:eastAsia="Google Sans Text" w:hAnsi="Google Sans Text"/>
          <w:b w:val="1"/>
          <w:bCs w:val="1"/>
          <w:color w:val="1b1c1d"/>
          <w:rtl w:val="0"/>
        </w:rPr>
        <w:t xml:space="preserve">1–2 years</w:t>
      </w:r>
      <w:r w:rsidDel="00000000" w:rsidR="00000000" w:rsidRPr="00000000">
        <w:rPr>
          <w:rFonts w:ascii="Google Sans Text" w:cs="Google Sans Text" w:eastAsia="Google Sans Text" w:hAnsi="Google Sans Text"/>
          <w:color w:val="1b1c1d"/>
          <w:rtl w:val="0"/>
        </w:rPr>
        <w:t xml:space="preserve"> category. Data from industry surveys indicate that the average duration for an application modernization effort is approximately 16 months per project, reported by 58% of application and architectural leaders.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Furthermore, over 27% of respondents reported that their projects take two years or even longer.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duration is critical because it highlights the endemic challenge of project chronicity. High-priority systems mandate exhaustive testing, complex phased rollouts to ensure backward compatibility , and stringent regulatory reviews. These necessary steps inherently extend timelines far beyond simple technical execution. The 16-month average project length is a severe strategic liability. In a rapidly evolving market, where technologies like Kubernetes saw adoption growth of 48% in a short period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project taking 16 months often finds its target technology landscape has significantly drifted or evolved before the system even goes live. Consequently, the primary cost of extended project timelines is the </w:t>
      </w:r>
      <w:r w:rsidDel="00000000" w:rsidR="00000000" w:rsidRPr="00000000">
        <w:rPr>
          <w:rFonts w:ascii="Google Sans Text" w:cs="Google Sans Text" w:eastAsia="Google Sans Text" w:hAnsi="Google Sans Text"/>
          <w:b w:val="1"/>
          <w:bCs w:val="1"/>
          <w:color w:val="1b1c1d"/>
          <w:rtl w:val="0"/>
        </w:rPr>
        <w:t xml:space="preserve">lost competitive advantage and the compounding technical debt accumulation</w:t>
      </w:r>
      <w:r w:rsidDel="00000000" w:rsidR="00000000" w:rsidRPr="00000000">
        <w:rPr>
          <w:rFonts w:ascii="Google Sans Text" w:cs="Google Sans Text" w:eastAsia="Google Sans Text" w:hAnsi="Google Sans Text"/>
          <w:color w:val="1b1c1d"/>
          <w:rtl w:val="0"/>
        </w:rPr>
        <w:t xml:space="preserve"> that occurs while the organization remains anchored to the past, forcing continuous catch-up efforts .</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Percentage of Budget Spent on Unforeseen Technical Debt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percentage of the initial budget typically consumed by unforeseen technical debt or post-migration refactoring falls within the </w:t>
      </w:r>
      <w:r w:rsidDel="00000000" w:rsidR="00000000" w:rsidRPr="00000000">
        <w:rPr>
          <w:rFonts w:ascii="Google Sans Text" w:cs="Google Sans Text" w:eastAsia="Google Sans Text" w:hAnsi="Google Sans Text"/>
          <w:b w:val="1"/>
          <w:bCs w:val="1"/>
          <w:color w:val="1b1c1d"/>
          <w:rtl w:val="0"/>
        </w:rPr>
        <w:t xml:space="preserve">10–25%</w:t>
      </w:r>
      <w:r w:rsidDel="00000000" w:rsidR="00000000" w:rsidRPr="00000000">
        <w:rPr>
          <w:rFonts w:ascii="Google Sans Text" w:cs="Google Sans Text" w:eastAsia="Google Sans Text" w:hAnsi="Google Sans Text"/>
          <w:color w:val="1b1c1d"/>
          <w:rtl w:val="0"/>
        </w:rPr>
        <w:t xml:space="preserve"> range. This is primarily anchored by industry analysis, which establishes that technical debt remediation consumes 15% of annual IT budgets on a regular basis . This expenditure often manifests as unexpected costs during a modernization initiative, as teams uncover deeply entrenched, undocumented complexity that requires extensive rework outside the original project scope .</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financial implications of this debt are enormous, costing companies $2.41 trillion annually in the US alone.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15% figure represents the necessary, recurring maintenance and "firefighting" costs required merely to keep legacy systems operational . When modernization attempts commence, this legacy maintenance burden does not simply vanish; instead, it transitions into unforeseen refactoring costs. This ongoing financial drain provides a strong financial justification for accelerating modernization efforts using specialized tooling. Any investment in AI that can compress the project timeline (e.g., from 16 months to 8 months) generates substantial, immediate Return on Investment (ROI) by halting the significant operational expenditure dedicated to servicing this technical debt. The tool becomes a </w:t>
      </w:r>
      <w:r w:rsidDel="00000000" w:rsidR="00000000" w:rsidRPr="00000000">
        <w:rPr>
          <w:rFonts w:ascii="Google Sans Text" w:cs="Google Sans Text" w:eastAsia="Google Sans Text" w:hAnsi="Google Sans Text"/>
          <w:b w:val="1"/>
          <w:bCs w:val="1"/>
          <w:color w:val="1b1c1d"/>
          <w:rtl w:val="0"/>
        </w:rPr>
        <w:t xml:space="preserve">debt elimination utility</w:t>
      </w:r>
      <w:r w:rsidDel="00000000" w:rsidR="00000000" w:rsidRPr="00000000">
        <w:rPr>
          <w:rFonts w:ascii="Google Sans Text" w:cs="Google Sans Text" w:eastAsia="Google Sans Text" w:hAnsi="Google Sans Text"/>
          <w:color w:val="1b1c1d"/>
          <w:rtl w:val="0"/>
        </w:rPr>
        <w:t xml:space="preserve">, justifying a dedicated capital expense budget because it stops the financial bleeding caused by decades of accumulated architectural compromises.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Risk of Losing Institutional Knowledge or Critical Code Logic</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During manual code migration or legacy language translation, the risk of losing institutional knowledge or critical code logic is universally recognized as a </w:t>
      </w:r>
      <w:r w:rsidDel="00000000" w:rsidR="00000000" w:rsidRPr="00000000">
        <w:rPr>
          <w:rFonts w:ascii="Google Sans Text" w:cs="Google Sans Text" w:eastAsia="Google Sans Text" w:hAnsi="Google Sans Text"/>
          <w:b w:val="1"/>
          <w:bCs w:val="1"/>
          <w:color w:val="1b1c1d"/>
          <w:rtl w:val="0"/>
        </w:rPr>
        <w:t xml:space="preserve">Critical Risk (5/5)</w:t>
      </w:r>
      <w:r w:rsidDel="00000000" w:rsidR="00000000" w:rsidRPr="00000000">
        <w:rPr>
          <w:rFonts w:ascii="Google Sans Text" w:cs="Google Sans Text" w:eastAsia="Google Sans Text" w:hAnsi="Google Sans Text"/>
          <w:color w:val="1b1c1d"/>
          <w:rtl w:val="0"/>
        </w:rPr>
        <w:t xml:space="preserve">. The loss of veteran employees, whether through turnover, promotion, or retirement, constantly challenges organizations in preserving this knowledge base.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institutional knowledge extends far beyond simple procedures; it includes the hidden, decades-old business logic often embedded directly into the legacy source code.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risk is quantified by the sheer difficulty of manual comprehension: developers report losing an average of six weeks for every 10,000 lines of legacy code just to untangle the hidden logic.</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When code translation is performed manually, or even using unvalidated AI processes, the lack of documentation or transparency can lead to "black-box modernization," where critical changes are introduced silently and without the ability to trace or certify their fidelity to the original business rules.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Since human memory and tacit understanding represent a single point of failure in managing these complex, undocumented systems, specialized AI is strategically positioned as a knowledge preservation tool. By translating "impenetrable legacy elements" (code, documentation, logs) into understandable English process descriptions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AI effectively preserves and formalizes the lost institutional knowledge, mitigating this critical operational and compliance risk.</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Most Critical Non-Technical Constraints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critical non-technical constraints slowing down modernization projects are the combination of </w:t>
      </w:r>
      <w:r w:rsidDel="00000000" w:rsidR="00000000" w:rsidRPr="00000000">
        <w:rPr>
          <w:rFonts w:ascii="Google Sans Text" w:cs="Google Sans Text" w:eastAsia="Google Sans Text" w:hAnsi="Google Sans Text"/>
          <w:b w:val="1"/>
          <w:bCs w:val="1"/>
          <w:color w:val="1b1c1d"/>
          <w:rtl w:val="0"/>
        </w:rPr>
        <w:t xml:space="preserve">Skill shortages / lack of expertise, Organizational resistance to change, and Budget constraints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Skill shortages / lack of expertise:</w:t>
      </w:r>
      <w:r w:rsidDel="00000000" w:rsidR="00000000" w:rsidRPr="00000000">
        <w:rPr>
          <w:rFonts w:ascii="Google Sans Text" w:cs="Google Sans Text" w:eastAsia="Google Sans Text" w:hAnsi="Google Sans Text"/>
          <w:color w:val="1b1c1d"/>
          <w:rtl w:val="0"/>
        </w:rPr>
        <w:t xml:space="preserve"> This is the most acute operational bottleneck. Working with legacy code requires specialized, increasingly rare expertise in older technologies, often leading to difficulty finding developers who command high salaries . This challenge of attracting or retaining talent was cited as a concern by 43% of respondents in one survey.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Organizational resistance to change:</w:t>
      </w:r>
      <w:r w:rsidDel="00000000" w:rsidR="00000000" w:rsidRPr="00000000">
        <w:rPr>
          <w:rFonts w:ascii="Google Sans Text" w:cs="Google Sans Text" w:eastAsia="Google Sans Text" w:hAnsi="Google Sans Text"/>
          <w:color w:val="1b1c1d"/>
          <w:rtl w:val="0"/>
        </w:rPr>
        <w:t xml:space="preserve"> This cultural constraint includes "change fatigue," fear of redundancy, or simple pushback against new workflows and tools . When combined with chronic delays and project failures, internal resistance is often validated, slowing adoption of necessary reforms.</w:t>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Budget constraints:</w:t>
      </w:r>
      <w:r w:rsidDel="00000000" w:rsidR="00000000" w:rsidRPr="00000000">
        <w:rPr>
          <w:rFonts w:ascii="Google Sans Text" w:cs="Google Sans Text" w:eastAsia="Google Sans Text" w:hAnsi="Google Sans Text"/>
          <w:color w:val="1b1c1d"/>
          <w:rtl w:val="0"/>
        </w:rPr>
        <w:t xml:space="preserve"> Nearly 56% of organizations report feeling they lack the necessary budget to keep pace with rapid technological advancements.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high cost of new infrastructure, retraining staff, and ensuring minimal operational disruption often strains financial resources .</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These three constraints are deeply interconnected and form a strategic bottleneck. The scarcity of specialized legacy talent exacerbates budget constraints through higher labor costs, and project delays stemming from these resource gaps fuel organizational resistance to change. Modernization efforts are therefore not fundamentally limited by the technology itself, but by human capacity and the associated funding limitations. Specialized AI is therefore viewed as an essential solution to scale the productivity of the scarce skilled workforce, thereby addressing the top constraints simultaneously by automating the manual toil of code analysis and translation.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Title: Project Realities and Technical Debt Profile (Section 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Expert Selection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Data Source &amp;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Duration (Core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years (16 months average)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58% of leaders report 16 months; risk and competitive disadvantage escalate past this threshold.</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Budget Spent on Unforeseen Technical Debt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10–25% (15% average)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Remediation consumes 15% of annual IT budgets; an ongoing drain requiring rapid resolution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Institutional Knowledge Loss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Risk (5/5)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Loss of decades of hidden logic; AI solutions are necessary to formalize and preserve undocumented business rules.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Top Non-Technical Constraints (Top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Skill shortages, Organizational resistance, Budget constraints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These three factors form the strategic barrier to project velocity and successful adoption .</w:t>
            </w:r>
          </w:p>
        </w:tc>
      </w:tr>
    </w:tbl>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 Operational Friction and Technical Debt Landscape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Ranking of Modernization Pain Points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analysis of modernization pain points prioritizes the obstacles that gate the entire transformation process. The ranking reflects a focus on addressing root causes (talent) before secondary effects (cost and time).</w:t>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(Most Critical)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Difficulty finding specialized legacy code expertise:</w:t>
      </w:r>
      <w:r w:rsidDel="00000000" w:rsidR="00000000" w:rsidRPr="00000000">
        <w:rPr>
          <w:rFonts w:ascii="Google Sans Text" w:cs="Google Sans Text" w:eastAsia="Google Sans Text" w:hAnsi="Google Sans Text"/>
          <w:color w:val="1b1c1d"/>
          <w:rtl w:val="0"/>
        </w:rPr>
        <w:t xml:space="preserve"> This is ranked as the most critical pain point because it constitutes the primary constraint on human capital. The specialized nature of older technologies means that finding developers proficient in them is difficult, and those developers command higher salaries . The inability to staff a project with the necessary expertise is a complete impediment to progress, making it the most critical gating factor.</w:t>
      </w:r>
    </w:p>
    <w:p w:rsidR="00000000" w:rsidDel="00000000" w:rsidP="00000000" w:rsidRDefault="00000000" w:rsidRPr="00000000" w14:paraId="0000007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Overrunning project timelines:</w:t>
      </w:r>
      <w:r w:rsidDel="00000000" w:rsidR="00000000" w:rsidRPr="00000000">
        <w:rPr>
          <w:rFonts w:ascii="Google Sans Text" w:cs="Google Sans Text" w:eastAsia="Google Sans Text" w:hAnsi="Google Sans Text"/>
          <w:color w:val="1b1c1d"/>
          <w:rtl w:val="0"/>
        </w:rPr>
        <w:t xml:space="preserve"> This is ranked second as it is the direct, measurable consequence of both technical complexity and the lack of specialized expertise. Project overruns destroy financial predictability and severely delay the time-to-value realization, forcing organizations into perpetual catch-up mode .</w:t>
      </w:r>
    </w:p>
    <w:p w:rsidR="00000000" w:rsidDel="00000000" w:rsidP="00000000" w:rsidRDefault="00000000" w:rsidRPr="00000000" w14:paraId="0000007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High cost of manual refactoring:</w:t>
      </w:r>
      <w:r w:rsidDel="00000000" w:rsidR="00000000" w:rsidRPr="00000000">
        <w:rPr>
          <w:rFonts w:ascii="Google Sans Text" w:cs="Google Sans Text" w:eastAsia="Google Sans Text" w:hAnsi="Google Sans Text"/>
          <w:color w:val="1b1c1d"/>
          <w:rtl w:val="0"/>
        </w:rPr>
        <w:t xml:space="preserve"> This is ranked third, as it represents the monetary cost of complexity and scarcity. The manual effort required to analyze, untangle, and rewrite logic—which can take six weeks per 10,000 lines of code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—is extremely expensive. While painful, the cost is an effect driven by the preceding constraints of complexity and lack of talent.</w:t>
      </w:r>
    </w:p>
    <w:p w:rsidR="00000000" w:rsidDel="00000000" w:rsidP="00000000" w:rsidRDefault="00000000" w:rsidRPr="00000000" w14:paraId="0000007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(Least Critical)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Post-migration system instability:</w:t>
      </w:r>
      <w:r w:rsidDel="00000000" w:rsidR="00000000" w:rsidRPr="00000000">
        <w:rPr>
          <w:rFonts w:ascii="Google Sans Text" w:cs="Google Sans Text" w:eastAsia="Google Sans Text" w:hAnsi="Google Sans Text"/>
          <w:color w:val="1b1c1d"/>
          <w:rtl w:val="0"/>
        </w:rPr>
        <w:t xml:space="preserve"> While catastrophic when it occurs, the risks associated with instability can be largely mitigated through robust data management, backward compatibility testing, and, critically, high-fidelity AI-driven translation that preserves business logic . This risk is now being addressed directly by specialized tools promising measurable reductions in post-migration bugs.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prioritization underscores an essential strategic realization: cost and time overruns are merely performance metrics. The fundamental strategic hurdle is the access to the rare human expertise required to safely handle legacy assets. Solutions that automate the transfer of knowledge and code translation, therefore, represent high-value leverage, as they solve the scarcity problem at the input layer.</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Prevalent Technical Challenges in Legacy Systems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Legacy systems are defined by a constellation of interconnected technical challenges that create an "Architecture of Fragility." Therefore, all the listed challenges are selected, as they collectively describe the state of high-risk enterprise legacy platforms:</w:t>
      </w:r>
    </w:p>
    <w:p w:rsidR="00000000" w:rsidDel="00000000" w:rsidP="00000000" w:rsidRDefault="00000000" w:rsidRPr="00000000" w14:paraId="0000007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Outdated programming languages (e.g., COBOL, Ada):</w:t>
      </w:r>
      <w:r w:rsidDel="00000000" w:rsidR="00000000" w:rsidRPr="00000000">
        <w:rPr>
          <w:rFonts w:ascii="Google Sans Text" w:cs="Google Sans Text" w:eastAsia="Google Sans Text" w:hAnsi="Google Sans Text"/>
          <w:color w:val="1b1c1d"/>
          <w:rtl w:val="0"/>
        </w:rPr>
        <w:t xml:space="preserve"> These are the physical manifestation of technical debt and are intrinsically linked to the difficulty of finding specialized expertise.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Complex, undocumented business logic:</w:t>
      </w:r>
      <w:r w:rsidDel="00000000" w:rsidR="00000000" w:rsidRPr="00000000">
        <w:rPr>
          <w:rFonts w:ascii="Google Sans Text" w:cs="Google Sans Text" w:eastAsia="Google Sans Text" w:hAnsi="Google Sans Text"/>
          <w:color w:val="1b1c1d"/>
          <w:rtl w:val="0"/>
        </w:rPr>
        <w:t xml:space="preserve"> This is the highest cognitive risk factor, where critical operational rules are embedded in code with zero comments or external documentation.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AI tools must be capable of transforming this hidden logic into auditable, transparent forms.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Tight coupling between applications and infrastructure:</w:t>
      </w:r>
      <w:r w:rsidDel="00000000" w:rsidR="00000000" w:rsidRPr="00000000">
        <w:rPr>
          <w:rFonts w:ascii="Google Sans Text" w:cs="Google Sans Text" w:eastAsia="Google Sans Text" w:hAnsi="Google Sans Text"/>
          <w:color w:val="1b1c1d"/>
          <w:rtl w:val="0"/>
        </w:rPr>
        <w:t xml:space="preserve"> This architectural defect means that changing one element (e.g., upgrading the OS or migrating to the cloud) risks destabilizing the entire system, preventing the necessary adoption of modern, scalable cloud-native and modular architectures.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Lack of comprehensive automated testing suites:</w:t>
      </w:r>
      <w:r w:rsidDel="00000000" w:rsidR="00000000" w:rsidRPr="00000000">
        <w:rPr>
          <w:rFonts w:ascii="Google Sans Text" w:cs="Google Sans Text" w:eastAsia="Google Sans Text" w:hAnsi="Google Sans Text"/>
          <w:color w:val="1b1c1d"/>
          <w:rtl w:val="0"/>
        </w:rPr>
        <w:t xml:space="preserve"> Without modern testing capabilities, high post-migration risk is inevitable. The absence of these suites forces time-consuming and expensive manual validation during migration and contributes heavily to project delays and instability .</w:t>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Vendor lock-in on proprietary platforms:</w:t>
      </w:r>
      <w:r w:rsidDel="00000000" w:rsidR="00000000" w:rsidRPr="00000000">
        <w:rPr>
          <w:rFonts w:ascii="Google Sans Text" w:cs="Google Sans Text" w:eastAsia="Google Sans Text" w:hAnsi="Google Sans Text"/>
          <w:color w:val="1b1c1d"/>
          <w:rtl w:val="0"/>
        </w:rPr>
        <w:t xml:space="preserve"> This constraint restricts the organization's flexibility, often preventing migration to more cost-effective cloud environments or specialized platforms necessary for emerging workloads like AI.</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collective presence of these five factors ensures that any manual modernization effort is high-risk, protracted, and expensive. For a modernization strategy to be successful, it must deploy comprehensive tools capable of systematically addressing each point: not just language translation, but also automated dependency mapping, documentation generation, and the creation of comprehensive test cases to break the cycle of fragility.</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Title: Legacy Pain Point Prioritization and Strategic Link to AI Solutions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Pain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Rank (1=Critical)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Root Cause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AI Solution 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Difficulty finding specialized legacy code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Scarce human talent; high cost and delay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Automated Code Conversion / Scaling human expertise.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Overrunning project timelines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Consequence of technical debt complexity and manual effort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Accelerated Time-to-Delivery (30–50% reduction)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cost of manual refactoring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Expensive human hours for analysis and translation.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Reduced Man-hours / Lowering TCO.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Post-migration system instability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Lack of testing, loss of business logic during conversion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High-Fidelity Translation (40% bug reduction).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bl>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III: Strategic Evaluation of AI Service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Value of AI Velocity (30–50% Reduction)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value of a solution that reduces modernization time by 30–50% is rated as a </w:t>
      </w:r>
      <w:r w:rsidDel="00000000" w:rsidR="00000000" w:rsidRPr="00000000">
        <w:rPr>
          <w:rFonts w:ascii="Google Sans Text" w:cs="Google Sans Text" w:eastAsia="Google Sans Text" w:hAnsi="Google Sans Text"/>
          <w:b w:val="1"/>
          <w:bCs w:val="1"/>
          <w:color w:val="1b1c1d"/>
          <w:rtl w:val="0"/>
        </w:rPr>
        <w:t xml:space="preserve">Game Changer (5/5)</w:t>
      </w:r>
      <w:r w:rsidDel="00000000" w:rsidR="00000000" w:rsidRPr="00000000">
        <w:rPr>
          <w:rFonts w:ascii="Google Sans Text" w:cs="Google Sans Text" w:eastAsia="Google Sans Text" w:hAnsi="Google Sans Text"/>
          <w:color w:val="1b1c1d"/>
          <w:rtl w:val="0"/>
        </w:rPr>
        <w:t xml:space="preserve">. Generative AI tools are capable of automating 30% to 50% of the typical workload within large organizations and are considered a "savior" and fundamental game changer for accelerating mainframe and legacy modernization.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modernizing large systems and paying down technical debt has been estimated to take five to seven years . Compressing this timeline by one-third to one-half radically shifts the value proposition. This velocity enables the organization to move beyond "lift and shift" (where legacy debt is simply migrated to a new platform) into a true architectural transformation—such as refactoring monoliths into modular, composable architectures.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Crucially, this pace allows the enterprise to realize value faster, capture market opportunities, and ensure that the modern platform is deployed </w:t>
      </w:r>
      <w:r w:rsidDel="00000000" w:rsidR="00000000" w:rsidRPr="00000000">
        <w:rPr>
          <w:rFonts w:ascii="Google Sans Text" w:cs="Google Sans Text" w:eastAsia="Google Sans Text" w:hAnsi="Google Sans Text"/>
          <w:i w:val="1"/>
          <w:iCs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rapid technological evolution renders the investment obsolete. The "Game Changer" designation is appropriate because this velocity fundamentally alters the economics and strategic risk profile of transformation, allowing businesses to immediately record tangible gains in revenue generated per employee .</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Likelihood to Pilot AI Service (40% Bug Reduction)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proposed AI service, which translates legacy code with high fidelity and reduces post-migration bug fixes by approximately 40%, is rated as </w:t>
      </w:r>
      <w:r w:rsidDel="00000000" w:rsidR="00000000" w:rsidRPr="00000000">
        <w:rPr>
          <w:rFonts w:ascii="Google Sans Text" w:cs="Google Sans Text" w:eastAsia="Google Sans Text" w:hAnsi="Google Sans Text"/>
          <w:b w:val="1"/>
          <w:bCs w:val="1"/>
          <w:color w:val="1b1c1d"/>
          <w:rtl w:val="0"/>
        </w:rPr>
        <w:t xml:space="preserve">Very Likely (5/5)</w:t>
      </w:r>
      <w:r w:rsidDel="00000000" w:rsidR="00000000" w:rsidRPr="00000000">
        <w:rPr>
          <w:rFonts w:ascii="Google Sans Text" w:cs="Google Sans Text" w:eastAsia="Google Sans Text" w:hAnsi="Google Sans Text"/>
          <w:color w:val="1b1c1d"/>
          <w:rtl w:val="0"/>
        </w:rPr>
        <w:t xml:space="preserve"> to be piloted. The high likelihood is directly tied to the service’s ability to mitigate the single greatest risk in modernization: systemic failure caused by loss of critical code logic.</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Modernization efforts using non-specialized AI risk creating systems that are difficult for auditors to certify and engineers to restore, introducing critical risk vectors through "black-box modernization".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promise of 40% fewer post-migration bugs is a powerful, quantifiable metric for high fidelity and reliability. This assurance minimizes the exposure to critical operational instability and compliance risks, which is highly valued, especially in regulated, data-intensive industries such as BFSI.</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CIOs and risk officers, </w:t>
      </w:r>
      <w:commentRangeStart w:id="0"/>
      <w:r w:rsidDel="00000000" w:rsidR="00000000" w:rsidRPr="00000000">
        <w:rPr>
          <w:rFonts w:ascii="Google Sans Text" w:cs="Google Sans Text" w:eastAsia="Google Sans Text" w:hAnsi="Google Sans Text"/>
          <w:color w:val="1b1c1d"/>
          <w:rtl w:val="0"/>
        </w:rPr>
        <w:t xml:space="preserve">high fidelity is not a feature; it is the </w:t>
      </w:r>
      <w:r w:rsidDel="00000000" w:rsidR="00000000" w:rsidRPr="00000000">
        <w:rPr>
          <w:rFonts w:ascii="Google Sans Text" w:cs="Google Sans Text" w:eastAsia="Google Sans Text" w:hAnsi="Google Sans Text"/>
          <w:b w:val="1"/>
          <w:bCs w:val="1"/>
          <w:color w:val="1b1c1d"/>
          <w:rtl w:val="0"/>
        </w:rPr>
        <w:t xml:space="preserve">pre-requisite for trust</w:t>
      </w:r>
      <w:r w:rsidDel="00000000" w:rsidR="00000000" w:rsidRPr="00000000">
        <w:rPr>
          <w:rFonts w:ascii="Google Sans Text" w:cs="Google Sans Text" w:eastAsia="Google Sans Text" w:hAnsi="Google Sans Text"/>
          <w:color w:val="1b1c1d"/>
          <w:rtl w:val="0"/>
        </w:rPr>
        <w:t xml:space="preserve"> that allows the deployment of autonomous AI into mission-critical systems.</w:t>
      </w:r>
      <w:commentRangeEnd w:id="0"/>
      <w:r w:rsidDel="00000000" w:rsidR="00000000" w:rsidRPr="00000000">
        <w:commentReference w:id="0"/>
      </w:r>
      <w:r w:rsidDel="00000000" w:rsidR="00000000" w:rsidRPr="00000000">
        <w:rPr>
          <w:rFonts w:ascii="Google Sans Text" w:cs="Google Sans Text" w:eastAsia="Google Sans Text" w:hAnsi="Google Sans Text"/>
          <w:color w:val="1b1c1d"/>
          <w:rtl w:val="0"/>
        </w:rPr>
        <w:t xml:space="preserve"> A pilot demonstrating this high degree of safety and reliability is essential for gaining executive and regulatory buy-in.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Most Important ROI Metric</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important ROI metric for justifying the cost of a specialized AI service is </w:t>
      </w:r>
      <w:r w:rsidDel="00000000" w:rsidR="00000000" w:rsidRPr="00000000">
        <w:rPr>
          <w:rFonts w:ascii="Google Sans Text" w:cs="Google Sans Text" w:eastAsia="Google Sans Text" w:hAnsi="Google Sans Text"/>
          <w:b w:val="1"/>
          <w:bCs w:val="1"/>
          <w:color w:val="1b1c1d"/>
          <w:rtl w:val="0"/>
        </w:rPr>
        <w:t xml:space="preserve">Faster time-to-delivery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metrics such as reduced man-hours and reduction in post-migration maintenance costs represent significant operational savings, </w:t>
      </w:r>
      <w:commentRangeStart w:id="1"/>
      <w:r w:rsidDel="00000000" w:rsidR="00000000" w:rsidRPr="00000000">
        <w:rPr>
          <w:rFonts w:ascii="Google Sans Text" w:cs="Google Sans Text" w:eastAsia="Google Sans Text" w:hAnsi="Google Sans Text"/>
          <w:color w:val="1b1c1d"/>
          <w:rtl w:val="0"/>
        </w:rPr>
        <w:t xml:space="preserve">the ultimate strategic goal of modernization is market agility and competitive response.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Strategy-focused executives (including Chief Strategy Officers) are primarily focused on how digital initiatives contribute to overall enterprise value.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Delivering modernized applications rapidly allows the organization to capture new revenue streams and establish a competitive advantage faster than competitors who are delayed by the 16-month average project timeline.</w:t>
      </w:r>
      <w:commentRangeEnd w:id="1"/>
      <w:r w:rsidDel="00000000" w:rsidR="00000000" w:rsidRPr="00000000">
        <w:commentReference w:id="1"/>
      </w:r>
      <w:r w:rsidDel="00000000" w:rsidR="00000000" w:rsidRPr="00000000">
        <w:rPr>
          <w:rFonts w:ascii="Google Sans Text" w:cs="Google Sans Text" w:eastAsia="Google Sans Text" w:hAnsi="Google Sans Text"/>
          <w:color w:val="1b1c1d"/>
          <w:rtl w:val="0"/>
        </w:rPr>
        <w:t xml:space="preserve"> The accelerated time-to-delivery means value realization is immediate. If an AI service cuts a one-year project by six months, the value derived from the accelerated market entry or feature deployment typically far outweighs the staffing cost savings during those six months, positioning velocity as the dominant strategic metric.</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Title: AI Service Adoption Drivers and Strategic Value Proposition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AI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Expert Selection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Strategic Implication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Impact on Project Risk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 of 30–50% Time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Game Changer (5/5)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value delivery within a single fiscal cycle; key for agility and competitive response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Reduces the chronic risk of project exposure time and accelerates ROI realization.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Likelihood to Pilot (40% Bug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Likely (5/5)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Mitigates "black box" risk and ensures code auditability and high-quality results.</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Directly addresses critical operational instability and compliance risks.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Most Important ROI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Faster time-to-delivery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Prioritizes competitive agility and market speed.</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Serves as the primary catalyst for faster strategic value capture and TCO reduction.</w:t>
            </w:r>
          </w:p>
        </w:tc>
      </w:tr>
    </w:tbl>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IV: Budget and Procurement Preferences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Maximum Budget Allocation for Specialized AI Tools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major modernization initiative, the maximum percentage of the total project budget allocated to specialized AI/automation tools (excluding human staff costs) is strategically placed in the </w:t>
      </w:r>
      <w:r w:rsidDel="00000000" w:rsidR="00000000" w:rsidRPr="00000000">
        <w:rPr>
          <w:rFonts w:ascii="Google Sans Text" w:cs="Google Sans Text" w:eastAsia="Google Sans Text" w:hAnsi="Google Sans Text"/>
          <w:b w:val="1"/>
          <w:bCs w:val="1"/>
          <w:color w:val="1b1c1d"/>
          <w:rtl w:val="0"/>
        </w:rPr>
        <w:t xml:space="preserve">5–10%</w:t>
      </w:r>
      <w:r w:rsidDel="00000000" w:rsidR="00000000" w:rsidRPr="00000000">
        <w:rPr>
          <w:rFonts w:ascii="Google Sans Text" w:cs="Google Sans Text" w:eastAsia="Google Sans Text" w:hAnsi="Google Sans Text"/>
          <w:color w:val="1b1c1d"/>
          <w:rtl w:val="0"/>
        </w:rPr>
        <w:t xml:space="preserve"> range. This allocation aligns with industry predictions for the growing comfort level with dedicated spending on advanced automation, with some forecasts suggesting enterprises will shift 10% of their overall IT budget allocation toward AI projects .</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percentage represents a significant capital expense dedicated to tooling (licenses, proprietary model training, platform infrastructure) that functions as an enablement layer. The allocation is justified by the expected leverage: investing 5-10% in high-value acceleration tools offsets the far greater financial drain of ongoing technical debt maintenance, which regularly consumes 15% of the annual IT budget . This spending threshold signifies that specialized AI is not viewed as an optional utility, but as a mandatory </w:t>
      </w:r>
      <w:r w:rsidDel="00000000" w:rsidR="00000000" w:rsidRPr="00000000">
        <w:rPr>
          <w:rFonts w:ascii="Google Sans Text" w:cs="Google Sans Text" w:eastAsia="Google Sans Text" w:hAnsi="Google Sans Text"/>
          <w:b w:val="1"/>
          <w:bCs w:val="1"/>
          <w:color w:val="1b1c1d"/>
          <w:rtl w:val="0"/>
        </w:rPr>
        <w:t xml:space="preserve">acceleration mechanism</w:t>
      </w:r>
      <w:r w:rsidDel="00000000" w:rsidR="00000000" w:rsidRPr="00000000">
        <w:rPr>
          <w:rFonts w:ascii="Google Sans Text" w:cs="Google Sans Text" w:eastAsia="Google Sans Text" w:hAnsi="Google Sans Text"/>
          <w:color w:val="1b1c1d"/>
          <w:rtl w:val="0"/>
        </w:rPr>
        <w:t xml:space="preserve"> required to retire technical debt swiftly and achieve strategic transformation goals.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Most Attractive Commercial Engagement Models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two most attractive commercial engagement models for procuring specialized AI modernization services are </w:t>
      </w:r>
      <w:r w:rsidDel="00000000" w:rsidR="00000000" w:rsidRPr="00000000">
        <w:rPr>
          <w:rFonts w:ascii="Google Sans Text" w:cs="Google Sans Text" w:eastAsia="Google Sans Text" w:hAnsi="Google Sans Text"/>
          <w:b w:val="1"/>
          <w:bCs w:val="1"/>
          <w:color w:val="1b1c1d"/>
          <w:rtl w:val="0"/>
        </w:rPr>
        <w:t xml:space="preserve">Fixed-Price, Project-Based</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b w:val="1"/>
          <w:bCs w:val="1"/>
          <w:color w:val="1b1c1d"/>
          <w:rtl w:val="0"/>
        </w:rPr>
        <w:t xml:space="preserve">Success-Fee Model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Fixed-Price, Project-Based:</w:t>
      </w:r>
      <w:r w:rsidDel="00000000" w:rsidR="00000000" w:rsidRPr="00000000">
        <w:rPr>
          <w:rFonts w:ascii="Google Sans Text" w:cs="Google Sans Text" w:eastAsia="Google Sans Text" w:hAnsi="Google Sans Text"/>
          <w:color w:val="1b1c1d"/>
          <w:rtl w:val="0"/>
        </w:rPr>
        <w:t xml:space="preserve"> This model is highly attractive because it transfers budget uncertainty risk away from the client and provides financial predictability . It is best suited for well-defined project phases, such as the initial legacy system scanning, architecture assessment, or the translation of smaller, contained application components.</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Success-Fee Model:</w:t>
      </w:r>
      <w:r w:rsidDel="00000000" w:rsidR="00000000" w:rsidRPr="00000000">
        <w:rPr>
          <w:rFonts w:ascii="Google Sans Text" w:cs="Google Sans Text" w:eastAsia="Google Sans Text" w:hAnsi="Google Sans Text"/>
          <w:color w:val="1b1c1d"/>
          <w:rtl w:val="0"/>
        </w:rPr>
        <w:t xml:space="preserve"> This model is preferred for the highest-risk, most critical phases, such as the complex translation of core business logic. The success-fee structure aligns the vendor’s financial incentives directly with the achievement of quantifiable client outcomes, such as hitting the high-fidelity target (e.g., 40% bug reduction) or achieving a specific uptime metric post-migration.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selection of these two models (Fixed-Price for stability, Success-Fee for accountability) over Time &amp; Material (T&amp;M) reflects a mature procurement strategy. T&amp;M contracts transfer the risk of hidden complexity (undocumented code, deep technical debt) entirely to the client. By adopting a hybrid approach utilizing Fixed-Price and Success-Fee structures, the enterprise can effectively de-risk the procurement process, demanding both budget certainty and demonstrable performance quality.</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Willingness to Pay a Premium for Accelerated, High-Fidelity Results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commentRangeStart w:id="2"/>
      <w:r w:rsidDel="00000000" w:rsidR="00000000" w:rsidRPr="00000000">
        <w:rPr>
          <w:rFonts w:ascii="Google Sans Text" w:cs="Google Sans Text" w:eastAsia="Google Sans Text" w:hAnsi="Google Sans Text"/>
          <w:color w:val="1b1c1d"/>
          <w:rtl w:val="0"/>
        </w:rPr>
        <w:t xml:space="preserve">The willingness to pay a premium (e.g., 20–30% of the estimated savings) for accelerated, high-fidelity results is </w:t>
      </w:r>
      <w:r w:rsidDel="00000000" w:rsidR="00000000" w:rsidRPr="00000000">
        <w:rPr>
          <w:rFonts w:ascii="Google Sans Text" w:cs="Google Sans Text" w:eastAsia="Google Sans Text" w:hAnsi="Google Sans Text"/>
          <w:b w:val="1"/>
          <w:bCs w:val="1"/>
          <w:color w:val="1b1c1d"/>
          <w:rtl w:val="0"/>
        </w:rPr>
        <w:t xml:space="preserve">Yes</w:t>
      </w:r>
      <w:r w:rsidDel="00000000" w:rsidR="00000000" w:rsidRPr="00000000">
        <w:rPr>
          <w:rFonts w:ascii="Google Sans Text" w:cs="Google Sans Text" w:eastAsia="Google Sans Text" w:hAnsi="Google Sans Text"/>
          <w:color w:val="1b1c1d"/>
          <w:rtl w:val="0"/>
        </w:rPr>
        <w:t xml:space="preserve">.</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position is based on the overwhelming cost of risk and delay. Enterprise leaders in the private sector often demonstrate flexibility in paying a premium to acquire necessary talent or accelerate initiatives that mitigate ongoing financial and operational risk . When core systems are involved, the cost of failure (catastrophic outages, regulatory fines, customer exodus ) far exceeds the premium paid for assurance. If a premium investment ensures the project avoids years of chronic delays (recall that transformation traditionally takes 5–7 years ), the rapid mitigation of future operational expenditure and the immediate unlocking of competitive advantage easily justifies the 20-30% premium. The decision is fundamentally a trade-off: paying more for </w:t>
      </w:r>
      <w:r w:rsidDel="00000000" w:rsidR="00000000" w:rsidRPr="00000000">
        <w:rPr>
          <w:rFonts w:ascii="Google Sans Text" w:cs="Google Sans Text" w:eastAsia="Google Sans Text" w:hAnsi="Google Sans Text"/>
          <w:b w:val="1"/>
          <w:bCs w:val="1"/>
          <w:color w:val="1b1c1d"/>
          <w:rtl w:val="0"/>
        </w:rPr>
        <w:t xml:space="preserve">assured quality and speed</w:t>
      </w:r>
      <w:r w:rsidDel="00000000" w:rsidR="00000000" w:rsidRPr="00000000">
        <w:rPr>
          <w:rFonts w:ascii="Google Sans Text" w:cs="Google Sans Text" w:eastAsia="Google Sans Text" w:hAnsi="Google Sans Text"/>
          <w:color w:val="1b1c1d"/>
          <w:rtl w:val="0"/>
        </w:rPr>
        <w:t xml:space="preserve"> is strategically superior to minimizing initial procurement cost while retaining multi-million dollar operational and compliance exposure.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Most Critical Factor to Authorize Payment</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critical factors required to authorize payment for a new specialized technology service are </w:t>
      </w:r>
      <w:r w:rsidDel="00000000" w:rsidR="00000000" w:rsidRPr="00000000">
        <w:rPr>
          <w:rFonts w:ascii="Google Sans Text" w:cs="Google Sans Text" w:eastAsia="Google Sans Text" w:hAnsi="Google Sans Text"/>
          <w:b w:val="1"/>
          <w:bCs w:val="1"/>
          <w:color w:val="1b1c1d"/>
          <w:rtl w:val="0"/>
        </w:rPr>
        <w:t xml:space="preserve">Proof of Concept / Pilot, Detailed ROI projection, and Vendor track record / credibility</w:t>
      </w:r>
      <w:r w:rsidDel="00000000" w:rsidR="00000000" w:rsidRPr="00000000">
        <w:rPr>
          <w:rFonts w:ascii="Google Sans Text" w:cs="Google Sans Text" w:eastAsia="Google Sans Text" w:hAnsi="Google Sans Text"/>
          <w:color w:val="1b1c1d"/>
          <w:rtl w:val="0"/>
        </w:rPr>
        <w:t xml:space="preserve">. These factors form the governance Triumvirate necessary for high-stakes technology procurement.</w:t>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Proof of Concept / Pilot:</w:t>
      </w:r>
      <w:r w:rsidDel="00000000" w:rsidR="00000000" w:rsidRPr="00000000">
        <w:rPr>
          <w:rFonts w:ascii="Google Sans Text" w:cs="Google Sans Text" w:eastAsia="Google Sans Text" w:hAnsi="Google Sans Text"/>
          <w:color w:val="1b1c1d"/>
          <w:rtl w:val="0"/>
        </w:rPr>
        <w:t xml:space="preserve"> This addresses the technical risk. For a novel technology like specialized AI acting on core code, a successful pilot is non-negotiable. </w:t>
      </w:r>
      <w:commentRangeStart w:id="3"/>
      <w:r w:rsidDel="00000000" w:rsidR="00000000" w:rsidRPr="00000000">
        <w:rPr>
          <w:rFonts w:ascii="Google Sans Text" w:cs="Google Sans Text" w:eastAsia="Google Sans Text" w:hAnsi="Google Sans Text"/>
          <w:color w:val="1b1c1d"/>
          <w:rtl w:val="0"/>
        </w:rPr>
        <w:t xml:space="preserve">It must validate the vendor's claims, specifically high-fidelity translation, before massive financial commitment.</w:t>
      </w:r>
      <w:r w:rsidDel="00000000" w:rsidR="00000000" w:rsidRPr="00000000">
        <w:rPr>
          <w:rFonts w:ascii="Google Sans Text" w:cs="Google Sans Text" w:eastAsia="Google Sans Text" w:hAnsi="Google Sans Text"/>
          <w:color w:val="444746"/>
          <w:sz w:val="24"/>
          <w:szCs w:val="24"/>
          <w:vertAlign w:val="superscript"/>
          <w:rtl w:val="0"/>
        </w:rPr>
        <w:t xml:space="preserve">19</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Detailed ROI projection:</w:t>
      </w:r>
      <w:r w:rsidDel="00000000" w:rsidR="00000000" w:rsidRPr="00000000">
        <w:rPr>
          <w:rFonts w:ascii="Google Sans Text" w:cs="Google Sans Text" w:eastAsia="Google Sans Text" w:hAnsi="Google Sans Text"/>
          <w:color w:val="1b1c1d"/>
          <w:rtl w:val="0"/>
        </w:rPr>
        <w:t xml:space="preserve"> This satisfies the financial justification required by CFOs. Technology investments must be aligned with value measures and attribute value to digital initiatives.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detailed ROI projection ensures the investment aligns with the strategic goal of faster time-to-delivery and validates the assumption that the cost of the AI service is justified by the estimated savings, particularly the avoidance of chronic technical debt servicing.</w:t>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Vendor track record / credibility:</w:t>
      </w:r>
      <w:r w:rsidDel="00000000" w:rsidR="00000000" w:rsidRPr="00000000">
        <w:rPr>
          <w:rFonts w:ascii="Google Sans Text" w:cs="Google Sans Text" w:eastAsia="Google Sans Text" w:hAnsi="Google Sans Text"/>
          <w:color w:val="1b1c1d"/>
          <w:rtl w:val="0"/>
        </w:rPr>
        <w:t xml:space="preserve"> This addresses institutional risk. Performing due diligence on technology vendors, including reviewing their financial statements, security history, and overall capacity to meet business continuity requirements, is essential for minimizing the risk of partner failure .</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and Forward-Looking Recommendations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findings confirm that enterprise application modernization is evolving from a necessary maintenance exercise into a strategic imperative driven by the need for velocity and the mitigation of profound operational risks. The chronic pain points—specifically the two-fold problem of talent scarcity (Rank 1 Pain Point) and the systemic risk of losing critical business logic—are creating an environment where manual processes are no longer feasible or safe.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Specialized AI services are positioned to address these core enterprise challenges by acting as a strategic multiplier of scarce human expertise and a guarantor of code fidelity. The analysis indicates that senior leadership is willing to invest strategically (5–10% of budget) and pay a premium for solutions that guarantee accelerated, high-quality outcomes, prioritizing </w:t>
      </w:r>
      <w:r w:rsidDel="00000000" w:rsidR="00000000" w:rsidRPr="00000000">
        <w:rPr>
          <w:rFonts w:ascii="Google Sans Text" w:cs="Google Sans Text" w:eastAsia="Google Sans Text" w:hAnsi="Google Sans Text"/>
          <w:b w:val="1"/>
          <w:bCs w:val="1"/>
          <w:color w:val="1b1c1d"/>
          <w:rtl w:val="0"/>
        </w:rPr>
        <w:t xml:space="preserve">Faster time-to-delivery</w:t>
      </w:r>
      <w:r w:rsidDel="00000000" w:rsidR="00000000" w:rsidRPr="00000000">
        <w:rPr>
          <w:rFonts w:ascii="Google Sans Text" w:cs="Google Sans Text" w:eastAsia="Google Sans Text" w:hAnsi="Google Sans Text"/>
          <w:color w:val="1b1c1d"/>
          <w:rtl w:val="0"/>
        </w:rPr>
        <w:t xml:space="preserve"> as the most valuable metric.</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Actionable Recommendations for Enterprise Leadership</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strategic assessment of market trends and procurement preferences, the following recommendations are provided to guide future modernization investment:</w:t>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Mandate High-Fidelity Validation through PoC:</w:t>
      </w:r>
      <w:r w:rsidDel="00000000" w:rsidR="00000000" w:rsidRPr="00000000">
        <w:rPr>
          <w:rFonts w:ascii="Google Sans Text" w:cs="Google Sans Text" w:eastAsia="Google Sans Text" w:hAnsi="Google Sans Text"/>
          <w:color w:val="1b1c1d"/>
          <w:rtl w:val="0"/>
        </w:rPr>
        <w:t xml:space="preserve"> Do not adopt specialized AI services without a rigorous Proof of Concept (PoC) that explicitly demonstrates high-fidelity code translation and validates the vendor's ability to achieve substantial bug reduction targets (e.g., 40%). This validates technical capability and satisfies critical authorization requirements.</w:t>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Shift Procurement to Performance-Based Models:</w:t>
      </w:r>
      <w:r w:rsidDel="00000000" w:rsidR="00000000" w:rsidRPr="00000000">
        <w:rPr>
          <w:rFonts w:ascii="Google Sans Text" w:cs="Google Sans Text" w:eastAsia="Google Sans Text" w:hAnsi="Google Sans Text"/>
          <w:color w:val="1b1c1d"/>
          <w:rtl w:val="0"/>
        </w:rPr>
        <w:t xml:space="preserve"> Move away from Time &amp; Material contracting for core modernization. Adopt a hybrid contracting structure combining Fixed-Price certainty for predictable phases and Success-Fee incentives for high-risk, value-driven translation work. This shares risk with the vendor and directly incentivizes high-quality, high-speed delivery.</w:t>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Capitalize AI Investment to Retire Debt:</w:t>
      </w:r>
      <w:r w:rsidDel="00000000" w:rsidR="00000000" w:rsidRPr="00000000">
        <w:rPr>
          <w:rFonts w:ascii="Google Sans Text" w:cs="Google Sans Text" w:eastAsia="Google Sans Text" w:hAnsi="Google Sans Text"/>
          <w:color w:val="1b1c1d"/>
          <w:rtl w:val="0"/>
        </w:rPr>
        <w:t xml:space="preserve"> Allocate 5–10% of the total modernization budget specifically to specialized AI and automation tooling. This investment should be viewed as capital expenditure designed to stop the high recurring operational expenditure associated with technical debt, which currently consumes 15% of annual IT budgets.</w:t>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Measure Velocity, Not Just Cost:</w:t>
      </w:r>
      <w:r w:rsidDel="00000000" w:rsidR="00000000" w:rsidRPr="00000000">
        <w:rPr>
          <w:rFonts w:ascii="Google Sans Text" w:cs="Google Sans Text" w:eastAsia="Google Sans Text" w:hAnsi="Google Sans Text"/>
          <w:color w:val="1b1c1d"/>
          <w:rtl w:val="0"/>
        </w:rPr>
        <w:t xml:space="preserve"> Prioritize </w:t>
      </w:r>
      <w:r w:rsidDel="00000000" w:rsidR="00000000" w:rsidRPr="00000000">
        <w:rPr>
          <w:rFonts w:ascii="Google Sans Text" w:cs="Google Sans Text" w:eastAsia="Google Sans Text" w:hAnsi="Google Sans Text"/>
          <w:b w:val="1"/>
          <w:bCs w:val="1"/>
          <w:color w:val="1b1c1d"/>
          <w:rtl w:val="0"/>
        </w:rPr>
        <w:t xml:space="preserve">Faster time-to-delivery</w:t>
      </w:r>
      <w:r w:rsidDel="00000000" w:rsidR="00000000" w:rsidRPr="00000000">
        <w:rPr>
          <w:rFonts w:ascii="Google Sans Text" w:cs="Google Sans Text" w:eastAsia="Google Sans Text" w:hAnsi="Google Sans Text"/>
          <w:color w:val="1b1c1d"/>
          <w:rtl w:val="0"/>
        </w:rPr>
        <w:t xml:space="preserve"> as the primary ROI metric. While staffing cost reductions are ancillary benefits, the ultimate value of AI lies in its ability to compress multi-year projects into executable timelines, thereby rapidly unlocking competitive advantage and generating accelerated revenue streams.</w:t>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IT modernization: Faster, cheaper, better - McKinsey, accessed November 17, 2025, </w:t>
      </w:r>
      <w:hyperlink r:id="rId7">
        <w:r w:rsidDel="00000000" w:rsidR="00000000" w:rsidRPr="00000000">
          <w:rPr>
            <w:rFonts w:ascii="Google Sans" w:cs="Google Sans" w:eastAsia="Google Sans" w:hAnsi="Google Sans"/>
            <w:color w:val="0000ee"/>
            <w:sz w:val="24"/>
            <w:szCs w:val="24"/>
            <w:u w:val="single"/>
            <w:rtl w:val="0"/>
          </w:rPr>
          <w:t xml:space="preserve">https://www.mckinsey.com/capabilities/quantumblack/our-insights/ai-for-it-modernization-faster-cheaper-and-better</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Happens When Generative AI 'Fixes' Your Legacy Code Without Telling You What It Changed? | by EnterpriseAI_World | Medium, accessed November 17, 2025, </w:t>
      </w:r>
      <w:hyperlink r:id="rId8">
        <w:r w:rsidDel="00000000" w:rsidR="00000000" w:rsidRPr="00000000">
          <w:rPr>
            <w:rFonts w:ascii="Google Sans" w:cs="Google Sans" w:eastAsia="Google Sans" w:hAnsi="Google Sans"/>
            <w:color w:val="0000ee"/>
            <w:sz w:val="24"/>
            <w:szCs w:val="24"/>
            <w:u w:val="single"/>
            <w:rtl w:val="0"/>
          </w:rPr>
          <w:t xml:space="preserve">https://medium.com/@vineesh.nair_64179/what-happens-when-generative-ai-fixes-your-legacy-code-without-telling-you-what-it-changed-e8b3df817fb8</w:t>
        </w:r>
      </w:hyperlink>
      <w:r w:rsidDel="00000000" w:rsidR="00000000" w:rsidRPr="00000000">
        <w:rPr>
          <w:rtl w:val="0"/>
        </w:rPr>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&amp; Materials vs. Fixed Price: Which Software Development Contract Model Delivers Better ROI? - Baytech Consulting, accessed November 17, 2025, </w:t>
      </w:r>
      <w:hyperlink r:id="rId9">
        <w:r w:rsidDel="00000000" w:rsidR="00000000" w:rsidRPr="00000000">
          <w:rPr>
            <w:rFonts w:ascii="Google Sans" w:cs="Google Sans" w:eastAsia="Google Sans" w:hAnsi="Google Sans"/>
            <w:color w:val="0000ee"/>
            <w:sz w:val="24"/>
            <w:szCs w:val="24"/>
            <w:u w:val="single"/>
            <w:rtl w:val="0"/>
          </w:rPr>
          <w:t xml:space="preserve">https://www.baytechconsulting.com/blog/time-and-materials-vs-fixed-price-2025</w:t>
        </w:r>
      </w:hyperlink>
      <w:r w:rsidDel="00000000" w:rsidR="00000000" w:rsidRPr="00000000">
        <w:rPr>
          <w:rtl w:val="0"/>
        </w:rPr>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and Materials vs Fixed Fee - Detailed Comparison - Brainhub, accessed November 17, 2025, </w:t>
      </w:r>
      <w:hyperlink r:id="rId10">
        <w:r w:rsidDel="00000000" w:rsidR="00000000" w:rsidRPr="00000000">
          <w:rPr>
            <w:rFonts w:ascii="Google Sans" w:cs="Google Sans" w:eastAsia="Google Sans" w:hAnsi="Google Sans"/>
            <w:color w:val="0000ee"/>
            <w:sz w:val="24"/>
            <w:szCs w:val="24"/>
            <w:u w:val="single"/>
            <w:rtl w:val="0"/>
          </w:rPr>
          <w:t xml:space="preserve">https://brainhub.eu/library/time-and-materials-vs-fixed-price</w:t>
        </w:r>
      </w:hyperlink>
      <w:r w:rsidDel="00000000" w:rsidR="00000000" w:rsidRPr="00000000">
        <w:rPr>
          <w:rtl w:val="0"/>
        </w:rPr>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2024: Enterprises Will Shift 10% Of Budget Allocation To AI Projects - CustomGPT, accessed November 17, 2025, </w:t>
      </w:r>
      <w:hyperlink r:id="rId11">
        <w:r w:rsidDel="00000000" w:rsidR="00000000" w:rsidRPr="00000000">
          <w:rPr>
            <w:rFonts w:ascii="Google Sans" w:cs="Google Sans" w:eastAsia="Google Sans" w:hAnsi="Google Sans"/>
            <w:color w:val="0000ee"/>
            <w:sz w:val="24"/>
            <w:szCs w:val="24"/>
            <w:u w:val="single"/>
            <w:rtl w:val="0"/>
          </w:rPr>
          <w:t xml:space="preserve">https://customgpt.ai/2024-prediction-ai-budget-allocation/</w:t>
        </w:r>
      </w:hyperlink>
      <w:r w:rsidDel="00000000" w:rsidR="00000000" w:rsidRPr="00000000">
        <w:rPr>
          <w:rtl w:val="0"/>
        </w:rPr>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Loss Could Be Hurting Your Company – But A Little Investment Goes A Long Way, accessed November 17, 2025, </w:t>
      </w:r>
      <w:hyperlink r:id="rId12">
        <w:r w:rsidDel="00000000" w:rsidR="00000000" w:rsidRPr="00000000">
          <w:rPr>
            <w:rFonts w:ascii="Google Sans" w:cs="Google Sans" w:eastAsia="Google Sans" w:hAnsi="Google Sans"/>
            <w:color w:val="0000ee"/>
            <w:sz w:val="24"/>
            <w:szCs w:val="24"/>
            <w:u w:val="single"/>
            <w:rtl w:val="0"/>
          </w:rPr>
          <w:t xml:space="preserve">https://www.pioneermanagementconsulting.com/insights/knowledge-loss-could-be-hurting-your-company-but-a-little-investment-goes-a-long-way</w:t>
        </w:r>
      </w:hyperlink>
      <w:r w:rsidDel="00000000" w:rsidR="00000000" w:rsidRPr="00000000">
        <w:rPr>
          <w:rtl w:val="0"/>
        </w:rPr>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Legacy Application Modernization Challenges in 2025 - Softura, accessed November 17, 2025, </w:t>
      </w:r>
      <w:hyperlink r:id="rId13">
        <w:r w:rsidDel="00000000" w:rsidR="00000000" w:rsidRPr="00000000">
          <w:rPr>
            <w:rFonts w:ascii="Google Sans" w:cs="Google Sans" w:eastAsia="Google Sans" w:hAnsi="Google Sans"/>
            <w:color w:val="0000ee"/>
            <w:sz w:val="24"/>
            <w:szCs w:val="24"/>
            <w:u w:val="single"/>
            <w:rtl w:val="0"/>
          </w:rPr>
          <w:t xml:space="preserve">https://www.softura.com/blog/legacy-application-modernization-challenges/</w:t>
        </w:r>
      </w:hyperlink>
      <w:r w:rsidDel="00000000" w:rsidR="00000000" w:rsidRPr="00000000">
        <w:rPr>
          <w:rtl w:val="0"/>
        </w:rPr>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Cracking the Problems with Legacy Tech, Data and Code - Iterators, accessed November 17, 2025, </w:t>
      </w:r>
      <w:hyperlink r:id="rId14">
        <w:r w:rsidDel="00000000" w:rsidR="00000000" w:rsidRPr="00000000">
          <w:rPr>
            <w:rFonts w:ascii="Google Sans" w:cs="Google Sans" w:eastAsia="Google Sans" w:hAnsi="Google Sans"/>
            <w:color w:val="0000ee"/>
            <w:sz w:val="24"/>
            <w:szCs w:val="24"/>
            <w:u w:val="single"/>
            <w:rtl w:val="0"/>
          </w:rPr>
          <w:t xml:space="preserve">https://www.iteratorshq.com/blog/cracking-the-problems-with-legacy-tech-data-and-code/</w:t>
        </w:r>
      </w:hyperlink>
      <w:r w:rsidDel="00000000" w:rsidR="00000000" w:rsidRPr="00000000">
        <w:rPr>
          <w:rtl w:val="0"/>
        </w:rPr>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Does 30-50% of Work at Salesforce – CEO Says It's A 'Digital Labor Revolution' | eWEEK, accessed November 17, 2025, </w:t>
      </w:r>
      <w:hyperlink r:id="rId15">
        <w:r w:rsidDel="00000000" w:rsidR="00000000" w:rsidRPr="00000000">
          <w:rPr>
            <w:rFonts w:ascii="Google Sans" w:cs="Google Sans" w:eastAsia="Google Sans" w:hAnsi="Google Sans"/>
            <w:color w:val="0000ee"/>
            <w:sz w:val="24"/>
            <w:szCs w:val="24"/>
            <w:u w:val="single"/>
            <w:rtl w:val="0"/>
          </w:rPr>
          <w:t xml:space="preserve">https://www.eweek.com/news/salesforce-ceo-marc-benioff-ai-automation-layoffs/</w:t>
        </w:r>
      </w:hyperlink>
      <w:r w:rsidDel="00000000" w:rsidR="00000000" w:rsidRPr="00000000">
        <w:rPr>
          <w:rtl w:val="0"/>
        </w:rPr>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Legacy Code Refactoring: Implementation Guide, accessed November 17, 2025, </w:t>
      </w:r>
      <w:hyperlink r:id="rId16">
        <w:r w:rsidDel="00000000" w:rsidR="00000000" w:rsidRPr="00000000">
          <w:rPr>
            <w:rFonts w:ascii="Google Sans" w:cs="Google Sans" w:eastAsia="Google Sans" w:hAnsi="Google Sans"/>
            <w:color w:val="0000ee"/>
            <w:sz w:val="24"/>
            <w:szCs w:val="24"/>
            <w:u w:val="single"/>
            <w:rtl w:val="0"/>
          </w:rPr>
          <w:t xml:space="preserve">https://www.augmentcode.com/guides/ai-powered-legacy-code-refactoring</w:t>
        </w:r>
      </w:hyperlink>
      <w:r w:rsidDel="00000000" w:rsidR="00000000" w:rsidRPr="00000000">
        <w:rPr>
          <w:rtl w:val="0"/>
        </w:rPr>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Legacy Code: 5 Challenges, Tools and Tips to Overcome Them - Swimm, accessed November 17, 2025, </w:t>
      </w:r>
      <w:hyperlink r:id="rId17">
        <w:r w:rsidDel="00000000" w:rsidR="00000000" w:rsidRPr="00000000">
          <w:rPr>
            <w:rFonts w:ascii="Google Sans" w:cs="Google Sans" w:eastAsia="Google Sans" w:hAnsi="Google Sans"/>
            <w:color w:val="0000ee"/>
            <w:sz w:val="24"/>
            <w:szCs w:val="24"/>
            <w:u w:val="single"/>
            <w:rtl w:val="0"/>
          </w:rPr>
          <w:t xml:space="preserve">https://swimm.io/learn/legacy-code/legacy-code-5-challenges-tools-and-tips-to-overcome-them</w:t>
        </w:r>
      </w:hyperlink>
      <w:r w:rsidDel="00000000" w:rsidR="00000000" w:rsidRPr="00000000">
        <w:rPr>
          <w:rtl w:val="0"/>
        </w:rPr>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Modernization Trends 2025: Key Innovations Shaping the Future of Digital Transformation - Evinent, accessed November 17, 2025, </w:t>
      </w:r>
      <w:hyperlink r:id="rId18">
        <w:r w:rsidDel="00000000" w:rsidR="00000000" w:rsidRPr="00000000">
          <w:rPr>
            <w:rFonts w:ascii="Google Sans" w:cs="Google Sans" w:eastAsia="Google Sans" w:hAnsi="Google Sans"/>
            <w:color w:val="0000ee"/>
            <w:sz w:val="24"/>
            <w:szCs w:val="24"/>
            <w:u w:val="single"/>
            <w:rtl w:val="0"/>
          </w:rPr>
          <w:t xml:space="preserve">https://evinent.com/blog/application-modernization-and-migration-trends</w:t>
        </w:r>
      </w:hyperlink>
      <w:r w:rsidDel="00000000" w:rsidR="00000000" w:rsidRPr="00000000">
        <w:rPr>
          <w:rtl w:val="0"/>
        </w:rPr>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Capturing value from IT infrastructure modernization in the public sector - McKinsey, accessed November 17, 2025, </w:t>
      </w:r>
      <w:hyperlink r:id="rId19">
        <w:r w:rsidDel="00000000" w:rsidR="00000000" w:rsidRPr="00000000">
          <w:rPr>
            <w:rFonts w:ascii="Google Sans" w:cs="Google Sans" w:eastAsia="Google Sans" w:hAnsi="Google Sans"/>
            <w:color w:val="0000ee"/>
            <w:sz w:val="24"/>
            <w:szCs w:val="24"/>
            <w:u w:val="single"/>
            <w:rtl w:val="0"/>
          </w:rPr>
          <w:t xml:space="preserve">https://www.mckinsey.com/industries/public-sector/our-insights/capturing-value-from-it-infrastructure-modernization-in-the-public-sector</w:t>
        </w:r>
      </w:hyperlink>
      <w:r w:rsidDel="00000000" w:rsidR="00000000" w:rsidRPr="00000000">
        <w:rPr>
          <w:rtl w:val="0"/>
        </w:rPr>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Update vol. 29 no. 45 - Preserving Institutional Knowledge, accessed November 17, 2025, </w:t>
      </w:r>
      <w:hyperlink r:id="rId20">
        <w:r w:rsidDel="00000000" w:rsidR="00000000" w:rsidRPr="00000000">
          <w:rPr>
            <w:rFonts w:ascii="Google Sans" w:cs="Google Sans" w:eastAsia="Google Sans" w:hAnsi="Google Sans"/>
            <w:color w:val="0000ee"/>
            <w:sz w:val="24"/>
            <w:szCs w:val="24"/>
            <w:u w:val="single"/>
            <w:rtl w:val="0"/>
          </w:rPr>
          <w:t xml:space="preserve">https://www.ctsi.org/technical-update-vol-29-no-45-preserving-institutional-knowledge/</w:t>
        </w:r>
      </w:hyperlink>
      <w:r w:rsidDel="00000000" w:rsidR="00000000" w:rsidRPr="00000000">
        <w:rPr>
          <w:rtl w:val="0"/>
        </w:rPr>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KPMG survey: Organizations report increased market pressure around new technologies, accessed November 17, 2025, </w:t>
      </w:r>
      <w:hyperlink r:id="rId21">
        <w:r w:rsidDel="00000000" w:rsidR="00000000" w:rsidRPr="00000000">
          <w:rPr>
            <w:rFonts w:ascii="Google Sans" w:cs="Google Sans" w:eastAsia="Google Sans" w:hAnsi="Google Sans"/>
            <w:color w:val="0000ee"/>
            <w:sz w:val="24"/>
            <w:szCs w:val="24"/>
            <w:u w:val="single"/>
            <w:rtl w:val="0"/>
          </w:rPr>
          <w:t xml:space="preserve">https://kpmg.com/us/en/media/news/global-tech-survey-2024.html</w:t>
        </w:r>
      </w:hyperlink>
      <w:r w:rsidDel="00000000" w:rsidR="00000000" w:rsidRPr="00000000">
        <w:rPr>
          <w:rtl w:val="0"/>
        </w:rPr>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Modernization Services Market Size to Hit USD 98.38 Billion by 2034, accessed November 17, 2025, </w:t>
      </w:r>
      <w:hyperlink r:id="rId22">
        <w:r w:rsidDel="00000000" w:rsidR="00000000" w:rsidRPr="00000000">
          <w:rPr>
            <w:rFonts w:ascii="Google Sans" w:cs="Google Sans" w:eastAsia="Google Sans" w:hAnsi="Google Sans"/>
            <w:color w:val="0000ee"/>
            <w:sz w:val="24"/>
            <w:szCs w:val="24"/>
            <w:u w:val="single"/>
            <w:rtl w:val="0"/>
          </w:rPr>
          <w:t xml:space="preserve">https://www.precedenceresearch.com/application-modernization-services-market</w:t>
        </w:r>
      </w:hyperlink>
      <w:r w:rsidDel="00000000" w:rsidR="00000000" w:rsidRPr="00000000">
        <w:rPr>
          <w:rtl w:val="0"/>
        </w:rPr>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Common Challenges in Legacy Application Modernization - ValueLabs, accessed November 17, 2025, </w:t>
      </w:r>
      <w:hyperlink r:id="rId23">
        <w:r w:rsidDel="00000000" w:rsidR="00000000" w:rsidRPr="00000000">
          <w:rPr>
            <w:rFonts w:ascii="Google Sans" w:cs="Google Sans" w:eastAsia="Google Sans" w:hAnsi="Google Sans"/>
            <w:color w:val="0000ee"/>
            <w:sz w:val="24"/>
            <w:szCs w:val="24"/>
            <w:u w:val="single"/>
            <w:rtl w:val="0"/>
          </w:rPr>
          <w:t xml:space="preserve">https://www.valuelabs.com/resources/blog/modernization/9-common-challenges-in-legacy-application-modernization/</w:t>
        </w:r>
      </w:hyperlink>
      <w:r w:rsidDel="00000000" w:rsidR="00000000" w:rsidRPr="00000000">
        <w:rPr>
          <w:rtl w:val="0"/>
        </w:rPr>
      </w:r>
    </w:p>
    <w:p w:rsidR="00000000" w:rsidDel="00000000" w:rsidP="00000000" w:rsidRDefault="00000000" w:rsidRPr="00000000" w14:paraId="000000F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tech investment ROI | Deloitte Insights, accessed November 17, 2025, </w:t>
      </w:r>
      <w:hyperlink r:id="rId24">
        <w:r w:rsidDel="00000000" w:rsidR="00000000" w:rsidRPr="00000000">
          <w:rPr>
            <w:rFonts w:ascii="Google Sans" w:cs="Google Sans" w:eastAsia="Google Sans" w:hAnsi="Google Sans"/>
            <w:color w:val="0000ee"/>
            <w:sz w:val="24"/>
            <w:szCs w:val="24"/>
            <w:u w:val="single"/>
            <w:rtl w:val="0"/>
          </w:rPr>
          <w:t xml:space="preserve">https://www.deloitte.com/us/en/insights/topics/digital-transformation/ai-tech-investment-roi.html</w:t>
        </w:r>
      </w:hyperlink>
      <w:r w:rsidDel="00000000" w:rsidR="00000000" w:rsidRPr="00000000">
        <w:rPr>
          <w:rtl w:val="0"/>
        </w:rPr>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Considerations When Evaluating Your Technology Vendor Contracts, accessed November 17, 2025, </w:t>
      </w:r>
      <w:hyperlink r:id="rId25">
        <w:r w:rsidDel="00000000" w:rsidR="00000000" w:rsidRPr="00000000">
          <w:rPr>
            <w:rFonts w:ascii="Google Sans" w:cs="Google Sans" w:eastAsia="Google Sans" w:hAnsi="Google Sans"/>
            <w:color w:val="0000ee"/>
            <w:sz w:val="24"/>
            <w:szCs w:val="24"/>
            <w:u w:val="single"/>
            <w:rtl w:val="0"/>
          </w:rPr>
          <w:t xml:space="preserve">https://www.claconnect.com/en/resources/blogs/key-considerations-when-evaluating-your-technology-vendor-contracts</w:t>
        </w:r>
      </w:hyperlink>
      <w:r w:rsidDel="00000000" w:rsidR="00000000" w:rsidRPr="00000000">
        <w:rPr>
          <w:rtl w:val="0"/>
        </w:rPr>
      </w:r>
    </w:p>
    <w:sectPr>
      <w:pgSz w:h="15840" w:w="12240" w:orient="portrait"/>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id="0" w:date="2025-11-18T00:17:48Z">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total reaction</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Adham Enaya reacted with 👍 at 2025-11-18 00:17 AM</w:t>
      </w:r>
    </w:p>
  </w:comment>
  <w:comment w:id="3" w:date="2025-11-18T00:25:21Z">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total reaction</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Adham Enaya reacted with 👍 at 2025-11-18 00:25 AM</w:t>
      </w:r>
    </w:p>
  </w:comment>
  <w:comment w:id="1" w:date="2025-11-18T00:19:42Z">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total reaction</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Adham Enaya reacted with 👍 at 2025-11-18 00:19 AM</w:t>
      </w:r>
    </w:p>
  </w:comment>
  <w:comment w:id="2" w:date="2025-11-18T00:23:07Z">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total reaction</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Adham Enaya reacted with 👍 at 2025-11-18 00:23 AM</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ctsi.org/technical-update-vol-29-no-45-preserving-institutional-knowledge/" TargetMode="External"/><Relationship Id="rId22" Type="http://schemas.openxmlformats.org/officeDocument/2006/relationships/hyperlink" Target="https://www.precedenceresearch.com/application-modernization-services-market" TargetMode="External"/><Relationship Id="rId21" Type="http://schemas.openxmlformats.org/officeDocument/2006/relationships/hyperlink" Target="https://kpmg.com/us/en/media/news/global-tech-survey-2024.html" TargetMode="External"/><Relationship Id="rId24" Type="http://schemas.openxmlformats.org/officeDocument/2006/relationships/hyperlink" Target="https://www.deloitte.com/us/en/insights/topics/digital-transformation/ai-tech-investment-roi.html" TargetMode="External"/><Relationship Id="rId23" Type="http://schemas.openxmlformats.org/officeDocument/2006/relationships/hyperlink" Target="https://www.valuelabs.com/resources/blog/modernization/9-common-challenges-in-legacy-application-modernization/"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baytechconsulting.com/blog/time-and-materials-vs-fixed-price-2025" TargetMode="External"/><Relationship Id="rId25" Type="http://schemas.openxmlformats.org/officeDocument/2006/relationships/hyperlink" Target="https://www.claconnect.com/en/resources/blogs/key-considerations-when-evaluating-your-technology-vendor-contracts"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mckinsey.com/capabilities/quantumblack/our-insights/ai-for-it-modernization-faster-cheaper-and-better" TargetMode="External"/><Relationship Id="rId8" Type="http://schemas.openxmlformats.org/officeDocument/2006/relationships/hyperlink" Target="https://medium.com/@vineesh.nair_64179/what-happens-when-generative-ai-fixes-your-legacy-code-without-telling-you-what-it-changed-e8b3df817fb8" TargetMode="External"/><Relationship Id="rId11" Type="http://schemas.openxmlformats.org/officeDocument/2006/relationships/hyperlink" Target="https://customgpt.ai/2024-prediction-ai-budget-allocation/" TargetMode="External"/><Relationship Id="rId10" Type="http://schemas.openxmlformats.org/officeDocument/2006/relationships/hyperlink" Target="https://brainhub.eu/library/time-and-materials-vs-fixed-price" TargetMode="External"/><Relationship Id="rId13" Type="http://schemas.openxmlformats.org/officeDocument/2006/relationships/hyperlink" Target="https://www.softura.com/blog/legacy-application-modernization-challenges/" TargetMode="External"/><Relationship Id="rId12" Type="http://schemas.openxmlformats.org/officeDocument/2006/relationships/hyperlink" Target="https://www.pioneermanagementconsulting.com/insights/knowledge-loss-could-be-hurting-your-company-but-a-little-investment-goes-a-long-way" TargetMode="External"/><Relationship Id="rId15" Type="http://schemas.openxmlformats.org/officeDocument/2006/relationships/hyperlink" Target="https://www.eweek.com/news/salesforce-ceo-marc-benioff-ai-automation-layoffs/" TargetMode="External"/><Relationship Id="rId14" Type="http://schemas.openxmlformats.org/officeDocument/2006/relationships/hyperlink" Target="https://www.iteratorshq.com/blog/cracking-the-problems-with-legacy-tech-data-and-code/" TargetMode="External"/><Relationship Id="rId17" Type="http://schemas.openxmlformats.org/officeDocument/2006/relationships/hyperlink" Target="https://swimm.io/learn/legacy-code/legacy-code-5-challenges-tools-and-tips-to-overcome-them" TargetMode="External"/><Relationship Id="rId16" Type="http://schemas.openxmlformats.org/officeDocument/2006/relationships/hyperlink" Target="https://www.augmentcode.com/guides/ai-powered-legacy-code-refactoring" TargetMode="External"/><Relationship Id="rId19" Type="http://schemas.openxmlformats.org/officeDocument/2006/relationships/hyperlink" Target="https://www.mckinsey.com/industries/public-sector/our-insights/capturing-value-from-it-infrastructure-modernization-in-the-public-sector" TargetMode="External"/><Relationship Id="rId18" Type="http://schemas.openxmlformats.org/officeDocument/2006/relationships/hyperlink" Target="https://evinent.com/blog/application-modernization-and-migration-trend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